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A791" w14:textId="6E2395D7" w:rsidR="00E11A8C" w:rsidRPr="007479DB" w:rsidRDefault="00E11A8C" w:rsidP="00167ED6">
      <w:pPr>
        <w:spacing w:after="0"/>
        <w:jc w:val="center"/>
        <w:rPr>
          <w:b/>
          <w:bCs/>
          <w:sz w:val="30"/>
          <w:szCs w:val="30"/>
        </w:rPr>
      </w:pPr>
      <w:r w:rsidRPr="007479DB">
        <w:rPr>
          <w:b/>
          <w:bCs/>
          <w:sz w:val="30"/>
          <w:szCs w:val="30"/>
        </w:rPr>
        <w:t>Frequently Asked Questions (FAQs)</w:t>
      </w:r>
    </w:p>
    <w:p w14:paraId="18096AC0" w14:textId="66383A10" w:rsidR="00E11A8C" w:rsidRPr="00E11A8C" w:rsidRDefault="00E11A8C" w:rsidP="00167ED6">
      <w:pPr>
        <w:spacing w:after="0"/>
        <w:jc w:val="center"/>
        <w:rPr>
          <w:b/>
          <w:bCs/>
          <w:sz w:val="28"/>
          <w:szCs w:val="28"/>
        </w:rPr>
      </w:pPr>
      <w:r w:rsidRPr="007479DB">
        <w:rPr>
          <w:b/>
          <w:bCs/>
          <w:sz w:val="30"/>
          <w:szCs w:val="30"/>
        </w:rPr>
        <w:t>Program Assessment Reporting at Ball State University</w:t>
      </w:r>
    </w:p>
    <w:p w14:paraId="71083D9C" w14:textId="77777777" w:rsidR="00167ED6" w:rsidRPr="00D92922" w:rsidRDefault="00167ED6" w:rsidP="00167ED6">
      <w:pPr>
        <w:spacing w:after="0"/>
        <w:rPr>
          <w:sz w:val="40"/>
          <w:szCs w:val="40"/>
        </w:rPr>
      </w:pPr>
    </w:p>
    <w:p w14:paraId="3C511201" w14:textId="7982CE8B" w:rsidR="00E11A8C" w:rsidRPr="00167ED6" w:rsidRDefault="00E11A8C" w:rsidP="00167ED6">
      <w:pPr>
        <w:spacing w:after="0"/>
        <w:rPr>
          <w:b/>
          <w:bCs/>
        </w:rPr>
      </w:pPr>
      <w:r w:rsidRPr="00167ED6">
        <w:rPr>
          <w:b/>
          <w:bCs/>
        </w:rPr>
        <w:t xml:space="preserve">What is the focus of program assessment reports?  </w:t>
      </w:r>
    </w:p>
    <w:p w14:paraId="0D2C8A6E" w14:textId="6635E172" w:rsidR="00E11A8C" w:rsidRDefault="00E11A8C" w:rsidP="00167ED6">
      <w:pPr>
        <w:spacing w:after="0"/>
      </w:pPr>
      <w:r>
        <w:t xml:space="preserve">Every academic program (major and certificate) must have publicly-stated program learning outcomes (PLOs). The primary focus of the annual report is assessment of </w:t>
      </w:r>
      <w:r w:rsidR="00D92922">
        <w:t xml:space="preserve">the </w:t>
      </w:r>
      <w:r>
        <w:t>PLOs</w:t>
      </w:r>
      <w:r w:rsidR="00D92922">
        <w:t xml:space="preserve"> or a subset of the PLOs</w:t>
      </w:r>
      <w:r>
        <w:t xml:space="preserve">.  </w:t>
      </w:r>
    </w:p>
    <w:p w14:paraId="3123F65E" w14:textId="77777777" w:rsidR="00167ED6" w:rsidRDefault="00167ED6" w:rsidP="00167ED6">
      <w:pPr>
        <w:spacing w:after="0"/>
      </w:pPr>
    </w:p>
    <w:p w14:paraId="00C75E2E" w14:textId="64306F1F" w:rsidR="00E11A8C" w:rsidRPr="00167ED6" w:rsidRDefault="00E11A8C" w:rsidP="00167ED6">
      <w:pPr>
        <w:spacing w:after="0"/>
        <w:rPr>
          <w:b/>
          <w:bCs/>
        </w:rPr>
      </w:pPr>
      <w:r w:rsidRPr="00167ED6">
        <w:rPr>
          <w:b/>
          <w:bCs/>
        </w:rPr>
        <w:t xml:space="preserve">What are program learning outcomes (PLOs)? </w:t>
      </w:r>
    </w:p>
    <w:p w14:paraId="0293040E" w14:textId="7096E216" w:rsidR="00E11A8C" w:rsidRPr="00167ED6" w:rsidRDefault="00E11A8C" w:rsidP="00D92922">
      <w:pPr>
        <w:spacing w:after="0"/>
        <w:rPr>
          <w:i/>
          <w:iCs/>
        </w:rPr>
      </w:pPr>
      <w:r>
        <w:t xml:space="preserve">Observable, measurable </w:t>
      </w:r>
      <w:r w:rsidR="00D92922">
        <w:t>PLOs</w:t>
      </w:r>
      <w:r>
        <w:t xml:space="preserve"> explain the knowledge and skills students will be able to demonstrate upon conclusion of the program. </w:t>
      </w:r>
      <w:r w:rsidR="00D92922">
        <w:t xml:space="preserve">Guidance on how to write measurable PLOs can be found </w:t>
      </w:r>
      <w:hyperlink r:id="rId5" w:history="1">
        <w:r w:rsidR="00D92922">
          <w:rPr>
            <w:rStyle w:val="Hyperlink"/>
          </w:rPr>
          <w:t>on the VPAA website</w:t>
        </w:r>
      </w:hyperlink>
      <w:r w:rsidR="00D92922">
        <w:t xml:space="preserve">. </w:t>
      </w:r>
    </w:p>
    <w:p w14:paraId="1D97E85F" w14:textId="77777777" w:rsidR="00167ED6" w:rsidRDefault="00167ED6" w:rsidP="00167ED6">
      <w:pPr>
        <w:spacing w:after="0"/>
      </w:pPr>
    </w:p>
    <w:p w14:paraId="274E8823" w14:textId="77777777" w:rsidR="00D92922" w:rsidRPr="007479DB" w:rsidRDefault="00D92922" w:rsidP="00D92922">
      <w:pPr>
        <w:spacing w:after="0"/>
        <w:rPr>
          <w:b/>
          <w:bCs/>
        </w:rPr>
      </w:pPr>
      <w:r w:rsidRPr="007479DB">
        <w:rPr>
          <w:b/>
          <w:bCs/>
        </w:rPr>
        <w:t xml:space="preserve">Why do we conduct </w:t>
      </w:r>
      <w:r>
        <w:rPr>
          <w:b/>
          <w:bCs/>
        </w:rPr>
        <w:t xml:space="preserve">program </w:t>
      </w:r>
      <w:r w:rsidRPr="007479DB">
        <w:rPr>
          <w:b/>
          <w:bCs/>
        </w:rPr>
        <w:t xml:space="preserve">assessment and submit annual reports? </w:t>
      </w:r>
    </w:p>
    <w:p w14:paraId="0AC97744" w14:textId="5C56D237" w:rsidR="00D92922" w:rsidRDefault="00D92922" w:rsidP="00D92922">
      <w:pPr>
        <w:spacing w:after="0"/>
      </w:pPr>
      <w:r>
        <w:t>Program assessment is designed to determine how well students achieve the stated PLOs. Results are used to address curricular gaps or redundancies, which then lead to improvements in student learning and experiences. Regular program assessment is required of all accredited institution</w:t>
      </w:r>
      <w:r w:rsidRPr="007479DB">
        <w:rPr>
          <w:rFonts w:ascii="Aptos" w:hAnsi="Aptos"/>
        </w:rPr>
        <w:t>s.</w:t>
      </w:r>
      <w:r w:rsidRPr="007479DB">
        <w:rPr>
          <w:rFonts w:ascii="Aptos" w:hAnsi="Aptos" w:cs="Open Sans"/>
          <w:color w:val="000000"/>
          <w:shd w:val="clear" w:color="auto" w:fill="FFFFFF"/>
        </w:rPr>
        <w:t xml:space="preserve"> Compliance with </w:t>
      </w:r>
      <w:r w:rsidRPr="007479DB">
        <w:rPr>
          <w:rFonts w:ascii="Aptos" w:hAnsi="Aptos" w:cs="Open Sans"/>
          <w:i/>
          <w:iCs/>
          <w:color w:val="000000"/>
          <w:shd w:val="clear" w:color="auto" w:fill="FFFFFF"/>
        </w:rPr>
        <w:t>HLC Criterion 3.F. Program Review</w:t>
      </w:r>
      <w:r w:rsidRPr="007479DB">
        <w:rPr>
          <w:rFonts w:ascii="Aptos" w:hAnsi="Aptos" w:cs="Open Sans"/>
          <w:color w:val="000000"/>
          <w:shd w:val="clear" w:color="auto" w:fill="FFFFFF"/>
        </w:rPr>
        <w:t> involves improving our curriculum based on periodic program review.</w:t>
      </w:r>
    </w:p>
    <w:p w14:paraId="33AA4CBC" w14:textId="77777777" w:rsidR="00D92922" w:rsidRDefault="00D92922" w:rsidP="00167ED6">
      <w:pPr>
        <w:spacing w:after="0"/>
        <w:rPr>
          <w:b/>
          <w:bCs/>
        </w:rPr>
      </w:pPr>
    </w:p>
    <w:p w14:paraId="1E986737" w14:textId="06629BDB" w:rsidR="00E11A8C" w:rsidRPr="00167ED6" w:rsidRDefault="00E11A8C" w:rsidP="00167ED6">
      <w:pPr>
        <w:spacing w:after="0"/>
        <w:rPr>
          <w:b/>
          <w:bCs/>
        </w:rPr>
      </w:pPr>
      <w:r w:rsidRPr="00167ED6">
        <w:rPr>
          <w:b/>
          <w:bCs/>
        </w:rPr>
        <w:t>Ar</w:t>
      </w:r>
      <w:r w:rsidR="0091737D">
        <w:rPr>
          <w:b/>
          <w:bCs/>
        </w:rPr>
        <w:t xml:space="preserve">e resources available to help write the report? </w:t>
      </w:r>
      <w:r w:rsidRPr="00167ED6">
        <w:rPr>
          <w:b/>
          <w:bCs/>
        </w:rPr>
        <w:t xml:space="preserve"> </w:t>
      </w:r>
    </w:p>
    <w:p w14:paraId="4E532DE5" w14:textId="5522E2BC" w:rsidR="00167ED6" w:rsidRDefault="00E11A8C" w:rsidP="00167ED6">
      <w:pPr>
        <w:spacing w:after="0"/>
      </w:pPr>
      <w:r>
        <w:t xml:space="preserve">Yes. </w:t>
      </w:r>
      <w:r w:rsidR="0091737D">
        <w:t xml:space="preserve">The template, video tutorial, and feedback rubric are </w:t>
      </w:r>
      <w:r w:rsidR="002D56FC">
        <w:t xml:space="preserve">available </w:t>
      </w:r>
      <w:r w:rsidR="0091737D">
        <w:t>on the</w:t>
      </w:r>
      <w:r>
        <w:t xml:space="preserve"> </w:t>
      </w:r>
      <w:hyperlink r:id="rId6" w:history="1">
        <w:r w:rsidR="00167ED6">
          <w:rPr>
            <w:rStyle w:val="Hyperlink"/>
          </w:rPr>
          <w:t>VPAA website</w:t>
        </w:r>
      </w:hyperlink>
      <w:r w:rsidR="00167ED6">
        <w:t xml:space="preserve"> under the </w:t>
      </w:r>
      <w:r w:rsidR="00167ED6" w:rsidRPr="00167ED6">
        <w:rPr>
          <w:i/>
          <w:iCs/>
        </w:rPr>
        <w:t>Assessment Report Resources</w:t>
      </w:r>
      <w:r w:rsidR="0091737D">
        <w:t xml:space="preserve"> tab.</w:t>
      </w:r>
      <w:r w:rsidR="002D56FC">
        <w:t xml:space="preserve"> In addition, the </w:t>
      </w:r>
      <w:hyperlink r:id="rId7" w:history="1">
        <w:r w:rsidR="002D56FC">
          <w:rPr>
            <w:rStyle w:val="Hyperlink"/>
          </w:rPr>
          <w:t>Director of Assessment &amp; Accreditation</w:t>
        </w:r>
      </w:hyperlink>
      <w:r w:rsidR="002D56FC">
        <w:t xml:space="preserve"> is available to help faculty along their assessment journey, whether they are new to assessment or a seasoned veteran. </w:t>
      </w:r>
      <w:r w:rsidR="00D31114">
        <w:t>Reach out anytime.</w:t>
      </w:r>
    </w:p>
    <w:p w14:paraId="25C4F7B2" w14:textId="77777777" w:rsidR="00167ED6" w:rsidRDefault="00167ED6" w:rsidP="00167ED6">
      <w:pPr>
        <w:spacing w:after="0"/>
      </w:pPr>
    </w:p>
    <w:p w14:paraId="7C26B4FF" w14:textId="77777777" w:rsidR="00D92922" w:rsidRPr="00167ED6" w:rsidRDefault="00D92922" w:rsidP="00D92922">
      <w:pPr>
        <w:spacing w:after="0"/>
        <w:rPr>
          <w:b/>
          <w:bCs/>
        </w:rPr>
      </w:pPr>
      <w:r w:rsidRPr="00167ED6">
        <w:rPr>
          <w:b/>
          <w:bCs/>
        </w:rPr>
        <w:t xml:space="preserve">What is the expected length of the reports? </w:t>
      </w:r>
    </w:p>
    <w:p w14:paraId="73FA8D0D" w14:textId="77777777" w:rsidR="00D92922" w:rsidRDefault="00D92922" w:rsidP="00D92922">
      <w:pPr>
        <w:spacing w:after="0"/>
      </w:pPr>
      <w:r>
        <w:t xml:space="preserve">Reports are intended to be meaningful and manageable. They should be approximately 2 pages. Curriculum maps (and any applicable charts, graphs or tables) can be appended to the 2-page report. </w:t>
      </w:r>
    </w:p>
    <w:p w14:paraId="25104323" w14:textId="77777777" w:rsidR="007479DB" w:rsidRDefault="007479DB" w:rsidP="007479DB">
      <w:pPr>
        <w:spacing w:after="0"/>
      </w:pPr>
    </w:p>
    <w:p w14:paraId="7BEC6E5A" w14:textId="77777777" w:rsidR="007479DB" w:rsidRPr="007479DB" w:rsidRDefault="007479DB" w:rsidP="007479DB">
      <w:pPr>
        <w:spacing w:after="0"/>
        <w:rPr>
          <w:b/>
          <w:bCs/>
        </w:rPr>
      </w:pPr>
      <w:r w:rsidRPr="007479DB">
        <w:rPr>
          <w:b/>
          <w:bCs/>
        </w:rPr>
        <w:t>When are assessment reports due?</w:t>
      </w:r>
    </w:p>
    <w:p w14:paraId="38526E54" w14:textId="42CBE1C7" w:rsidR="007479DB" w:rsidRDefault="007479DB" w:rsidP="007479DB">
      <w:pPr>
        <w:spacing w:after="0"/>
      </w:pPr>
      <w:r>
        <w:t xml:space="preserve">Reports are due Oct. 15 each year (exception: CSH reports are due </w:t>
      </w:r>
      <w:r w:rsidR="00D92922">
        <w:t>Dec.</w:t>
      </w:r>
      <w:r>
        <w:t xml:space="preserve"> 15). Reports should be uploaded </w:t>
      </w:r>
      <w:hyperlink r:id="rId8" w:history="1">
        <w:r>
          <w:rPr>
            <w:rStyle w:val="Hyperlink"/>
          </w:rPr>
          <w:t>via Qualtrics</w:t>
        </w:r>
      </w:hyperlink>
      <w:r>
        <w:t>.</w:t>
      </w:r>
    </w:p>
    <w:p w14:paraId="172ECD8A" w14:textId="77777777" w:rsidR="007479DB" w:rsidRDefault="007479DB" w:rsidP="00167ED6">
      <w:pPr>
        <w:spacing w:after="0"/>
        <w:rPr>
          <w:b/>
          <w:bCs/>
        </w:rPr>
      </w:pPr>
    </w:p>
    <w:p w14:paraId="73897FC3" w14:textId="2B9864D4" w:rsidR="00E11A8C" w:rsidRPr="00167ED6" w:rsidRDefault="00E11A8C" w:rsidP="00167ED6">
      <w:pPr>
        <w:spacing w:after="0"/>
        <w:rPr>
          <w:b/>
          <w:bCs/>
        </w:rPr>
      </w:pPr>
      <w:r w:rsidRPr="00167ED6">
        <w:rPr>
          <w:b/>
          <w:bCs/>
        </w:rPr>
        <w:t>Are</w:t>
      </w:r>
      <w:r w:rsidR="00D92922">
        <w:rPr>
          <w:b/>
          <w:bCs/>
        </w:rPr>
        <w:t xml:space="preserve"> all</w:t>
      </w:r>
      <w:r w:rsidRPr="00167ED6">
        <w:rPr>
          <w:b/>
          <w:bCs/>
        </w:rPr>
        <w:t xml:space="preserve"> academic depts./schools expected to submit an assessment report each fall?  </w:t>
      </w:r>
    </w:p>
    <w:p w14:paraId="7CF75F43" w14:textId="76FF607B" w:rsidR="00E11A8C" w:rsidRDefault="00E11A8C" w:rsidP="00167ED6">
      <w:pPr>
        <w:spacing w:after="0"/>
      </w:pPr>
      <w:r>
        <w:t>Yes. A</w:t>
      </w:r>
      <w:r w:rsidR="00167ED6">
        <w:t>n annual</w:t>
      </w:r>
      <w:r>
        <w:t xml:space="preserve"> program assessment report is expected </w:t>
      </w:r>
      <w:hyperlink r:id="rId9" w:history="1">
        <w:r w:rsidR="00167ED6">
          <w:rPr>
            <w:rStyle w:val="Hyperlink"/>
          </w:rPr>
          <w:t>via Qualtrics</w:t>
        </w:r>
      </w:hyperlink>
      <w:r w:rsidR="00167ED6">
        <w:t xml:space="preserve"> </w:t>
      </w:r>
      <w:r>
        <w:t>from e</w:t>
      </w:r>
      <w:r w:rsidR="002D56FC">
        <w:t>ach</w:t>
      </w:r>
      <w:r>
        <w:t xml:space="preserve"> dept./school, </w:t>
      </w:r>
      <w:r w:rsidR="00357442">
        <w:t xml:space="preserve">unless a </w:t>
      </w:r>
      <w:r w:rsidR="00D92922">
        <w:t xml:space="preserve">collective </w:t>
      </w:r>
      <w:r w:rsidR="00357442">
        <w:t>college-wide report covering each dept./school is preferred. T</w:t>
      </w:r>
      <w:r>
        <w:t xml:space="preserve">he annual report does not need to cover </w:t>
      </w:r>
      <w:r w:rsidR="002D56FC">
        <w:t xml:space="preserve">every single program </w:t>
      </w:r>
      <w:r>
        <w:t xml:space="preserve">every </w:t>
      </w:r>
      <w:r w:rsidR="002D56FC">
        <w:t xml:space="preserve">single </w:t>
      </w:r>
      <w:r>
        <w:t>year</w:t>
      </w:r>
      <w:r w:rsidR="00D92922">
        <w:t>; d</w:t>
      </w:r>
      <w:r w:rsidR="00D92922" w:rsidRPr="00D92922">
        <w:t xml:space="preserve">etermining which program(s) to include in the </w:t>
      </w:r>
      <w:r w:rsidR="002D56FC">
        <w:t xml:space="preserve">unit’s </w:t>
      </w:r>
      <w:r w:rsidR="00D92922" w:rsidRPr="00D92922">
        <w:t>report is up to the head of the dept./school.</w:t>
      </w:r>
      <w:r>
        <w:t xml:space="preserve">    </w:t>
      </w:r>
    </w:p>
    <w:p w14:paraId="2C140094" w14:textId="77777777" w:rsidR="00167ED6" w:rsidRDefault="00167ED6" w:rsidP="00167ED6">
      <w:pPr>
        <w:spacing w:after="0"/>
      </w:pPr>
    </w:p>
    <w:p w14:paraId="390E7E42" w14:textId="105F1E24" w:rsidR="00E11A8C" w:rsidRPr="00167ED6" w:rsidRDefault="00E11A8C" w:rsidP="00167ED6">
      <w:pPr>
        <w:spacing w:after="0"/>
        <w:rPr>
          <w:b/>
          <w:bCs/>
        </w:rPr>
      </w:pPr>
      <w:r w:rsidRPr="00167ED6">
        <w:rPr>
          <w:b/>
          <w:bCs/>
        </w:rPr>
        <w:t xml:space="preserve">Must all programs be included in every program assessment report?  </w:t>
      </w:r>
    </w:p>
    <w:p w14:paraId="023A7C28" w14:textId="139AE455" w:rsidR="00E11A8C" w:rsidRDefault="00E11A8C" w:rsidP="00167ED6">
      <w:pPr>
        <w:spacing w:after="0"/>
      </w:pPr>
      <w:r>
        <w:t>No. Determining which program(s) to include in the report is up to the head of t</w:t>
      </w:r>
      <w:r w:rsidR="00D52DD0">
        <w:t xml:space="preserve">he </w:t>
      </w:r>
      <w:r>
        <w:t>dept./school, with the understanding that all programs must be included in an assessment report at least once every ﬁve years.</w:t>
      </w:r>
      <w:r w:rsidR="00357442">
        <w:t xml:space="preserve"> Following this process</w:t>
      </w:r>
      <w:r w:rsidR="002D56FC">
        <w:t xml:space="preserve"> enables </w:t>
      </w:r>
      <w:r w:rsidR="00357442">
        <w:t xml:space="preserve">assessment of programs </w:t>
      </w:r>
      <w:r w:rsidR="002D56FC">
        <w:t xml:space="preserve">to be </w:t>
      </w:r>
      <w:r w:rsidR="00357442">
        <w:t>summarized in the</w:t>
      </w:r>
      <w:r>
        <w:t xml:space="preserve"> </w:t>
      </w:r>
      <w:hyperlink r:id="rId10" w:history="1">
        <w:r w:rsidR="00357442">
          <w:rPr>
            <w:rStyle w:val="Hyperlink"/>
          </w:rPr>
          <w:t>5-Year Academic Unit Review (AUR)</w:t>
        </w:r>
      </w:hyperlink>
      <w:r w:rsidR="00357442">
        <w:t xml:space="preserve">. </w:t>
      </w:r>
    </w:p>
    <w:p w14:paraId="12CE888A" w14:textId="77777777" w:rsidR="00E11A8C" w:rsidRDefault="00E11A8C" w:rsidP="00167ED6">
      <w:pPr>
        <w:spacing w:after="0"/>
      </w:pPr>
    </w:p>
    <w:p w14:paraId="2F2F7501" w14:textId="323E1593" w:rsidR="00E11A8C" w:rsidRPr="00D52DD0" w:rsidRDefault="00E11A8C" w:rsidP="00167ED6">
      <w:pPr>
        <w:spacing w:after="0"/>
        <w:rPr>
          <w:b/>
          <w:bCs/>
        </w:rPr>
      </w:pPr>
      <w:r w:rsidRPr="00D52DD0">
        <w:rPr>
          <w:b/>
          <w:bCs/>
        </w:rPr>
        <w:t xml:space="preserve">How do depts./schools determine which program(s) to include in the report? </w:t>
      </w:r>
    </w:p>
    <w:p w14:paraId="64FC93F3" w14:textId="6E465FCB" w:rsidR="00E11A8C" w:rsidRDefault="00E11A8C" w:rsidP="00167ED6">
      <w:pPr>
        <w:spacing w:after="0"/>
      </w:pPr>
      <w:r>
        <w:t xml:space="preserve">Some units include their programs </w:t>
      </w:r>
      <w:r w:rsidR="00357442">
        <w:t xml:space="preserve">in the report </w:t>
      </w:r>
      <w:r>
        <w:t>on a rota</w:t>
      </w:r>
      <w:r w:rsidR="00D52DD0">
        <w:t>ti</w:t>
      </w:r>
      <w:r>
        <w:t xml:space="preserve">ng basis. </w:t>
      </w:r>
      <w:r w:rsidR="00357442">
        <w:t xml:space="preserve">For example, if there are five programs in the unit, they report on assessment of one program each year. </w:t>
      </w:r>
      <w:r>
        <w:t>Other</w:t>
      </w:r>
      <w:r w:rsidR="00357442">
        <w:t xml:space="preserve"> units</w:t>
      </w:r>
      <w:r>
        <w:t xml:space="preserve"> focus on undergraduate programs </w:t>
      </w:r>
      <w:r w:rsidR="00357442">
        <w:t xml:space="preserve">in even years and graduate programs in odd years. </w:t>
      </w:r>
      <w:r>
        <w:t xml:space="preserve"> Determining which program(s) to include in the report is </w:t>
      </w:r>
      <w:r w:rsidR="00357442">
        <w:t xml:space="preserve">up to the head of the dept./school. </w:t>
      </w:r>
    </w:p>
    <w:p w14:paraId="5E876688" w14:textId="77777777" w:rsidR="005F3EB0" w:rsidRDefault="005F3EB0" w:rsidP="00167ED6">
      <w:pPr>
        <w:spacing w:after="0"/>
      </w:pPr>
    </w:p>
    <w:p w14:paraId="4C19C38A" w14:textId="1E0C326C" w:rsidR="007479DB" w:rsidRDefault="007479DB" w:rsidP="00167ED6">
      <w:pPr>
        <w:spacing w:after="0"/>
        <w:rPr>
          <w:b/>
          <w:bCs/>
        </w:rPr>
      </w:pPr>
      <w:r>
        <w:rPr>
          <w:b/>
          <w:bCs/>
        </w:rPr>
        <w:t>Who reads the annual program assessment reports?</w:t>
      </w:r>
    </w:p>
    <w:p w14:paraId="344A74BB" w14:textId="5A104BEE" w:rsidR="007479DB" w:rsidRPr="007479DB" w:rsidRDefault="007479DB" w:rsidP="00167ED6">
      <w:pPr>
        <w:spacing w:after="0"/>
      </w:pPr>
      <w:r w:rsidRPr="007479DB">
        <w:t xml:space="preserve">Dept./school leaders share their program assessment reports with colleagues in their unit and with their college administration. </w:t>
      </w:r>
      <w:r w:rsidR="0091737D">
        <w:t>T</w:t>
      </w:r>
      <w:r w:rsidRPr="007479DB">
        <w:t xml:space="preserve">he University Assessment Committee (UAC), which </w:t>
      </w:r>
      <w:r w:rsidR="0091737D">
        <w:t xml:space="preserve">is chaired by the Dir. </w:t>
      </w:r>
      <w:r w:rsidR="0093243B">
        <w:t xml:space="preserve">of </w:t>
      </w:r>
      <w:r w:rsidR="0091737D">
        <w:t xml:space="preserve">Assessment &amp; Accreditation and </w:t>
      </w:r>
      <w:r w:rsidRPr="007479DB">
        <w:t>has rep</w:t>
      </w:r>
      <w:r w:rsidR="0091737D">
        <w:t>s</w:t>
      </w:r>
      <w:r w:rsidRPr="007479DB">
        <w:t xml:space="preserve"> from all colleges and </w:t>
      </w:r>
      <w:r w:rsidR="0091737D">
        <w:t xml:space="preserve">several </w:t>
      </w:r>
      <w:r w:rsidRPr="007479DB">
        <w:t xml:space="preserve">units </w:t>
      </w:r>
      <w:r w:rsidR="0091737D">
        <w:t>on</w:t>
      </w:r>
      <w:r w:rsidRPr="007479DB">
        <w:t xml:space="preserve"> campus, </w:t>
      </w:r>
      <w:r w:rsidR="0091737D">
        <w:t xml:space="preserve">has </w:t>
      </w:r>
      <w:r w:rsidRPr="007479DB">
        <w:t xml:space="preserve">access </w:t>
      </w:r>
      <w:r w:rsidR="0091737D">
        <w:t>to</w:t>
      </w:r>
      <w:r w:rsidRPr="007479DB">
        <w:t xml:space="preserve"> </w:t>
      </w:r>
      <w:r w:rsidR="0091737D">
        <w:t xml:space="preserve">annual </w:t>
      </w:r>
      <w:r w:rsidRPr="007479DB">
        <w:t>program assessment reports</w:t>
      </w:r>
      <w:r w:rsidR="0091737D">
        <w:t xml:space="preserve"> and PLOs</w:t>
      </w:r>
      <w:r w:rsidRPr="007479DB">
        <w:t xml:space="preserve">. </w:t>
      </w:r>
    </w:p>
    <w:p w14:paraId="50E1892E" w14:textId="77777777" w:rsidR="007479DB" w:rsidRDefault="007479DB" w:rsidP="00167ED6">
      <w:pPr>
        <w:spacing w:after="0"/>
        <w:rPr>
          <w:b/>
          <w:bCs/>
        </w:rPr>
      </w:pPr>
    </w:p>
    <w:p w14:paraId="1DC06148" w14:textId="77777777" w:rsidR="002D56FC" w:rsidRDefault="002D56FC" w:rsidP="002D56FC">
      <w:pPr>
        <w:spacing w:after="0"/>
        <w:rPr>
          <w:b/>
          <w:bCs/>
        </w:rPr>
      </w:pPr>
      <w:r w:rsidRPr="005F3EB0">
        <w:rPr>
          <w:b/>
          <w:bCs/>
        </w:rPr>
        <w:t>What are direct vs. indirect measures of student learning?</w:t>
      </w:r>
    </w:p>
    <w:p w14:paraId="7860C1E6" w14:textId="0B335A74" w:rsidR="002D56FC" w:rsidRDefault="002D56FC" w:rsidP="002D56FC">
      <w:pPr>
        <w:spacing w:after="0"/>
      </w:pPr>
      <w:r>
        <w:t xml:space="preserve">Using </w:t>
      </w:r>
      <w:r w:rsidRPr="00E11A8C">
        <w:t xml:space="preserve">both direct and indirect measures </w:t>
      </w:r>
      <w:r>
        <w:t xml:space="preserve">of PLO attainment should be </w:t>
      </w:r>
      <w:r w:rsidRPr="00E11A8C">
        <w:t>an ongoing process in each</w:t>
      </w:r>
      <w:r>
        <w:t xml:space="preserve"> </w:t>
      </w:r>
      <w:r w:rsidRPr="00E11A8C">
        <w:t xml:space="preserve">program. While depts./schools determine how </w:t>
      </w:r>
      <w:r w:rsidR="0093243B">
        <w:t>their</w:t>
      </w:r>
      <w:r w:rsidRPr="00E11A8C">
        <w:t xml:space="preserve"> assessment will be conducted, program assessment</w:t>
      </w:r>
      <w:r>
        <w:t xml:space="preserve"> </w:t>
      </w:r>
      <w:r w:rsidRPr="00E11A8C">
        <w:t xml:space="preserve">must include at least one direct measure of student </w:t>
      </w:r>
      <w:r>
        <w:t>attainment of PLOs</w:t>
      </w:r>
      <w:r w:rsidRPr="00E11A8C">
        <w:t>.</w:t>
      </w:r>
    </w:p>
    <w:p w14:paraId="32FB7DFB" w14:textId="77777777" w:rsidR="002D56FC" w:rsidRDefault="002D56FC" w:rsidP="002D56FC">
      <w:pPr>
        <w:pStyle w:val="ListParagraph"/>
        <w:numPr>
          <w:ilvl w:val="0"/>
          <w:numId w:val="1"/>
        </w:numPr>
        <w:spacing w:after="0"/>
      </w:pPr>
      <w:r>
        <w:t>Direct measures of learning explicitly demonstrate how well students have acquired the PLOs. Examples include comprehensive exams, written papers, evaluation of student portfolios and performances, observation of students in clinical rotations, etc.</w:t>
      </w:r>
    </w:p>
    <w:p w14:paraId="751CCF89" w14:textId="77777777" w:rsidR="002D56FC" w:rsidRDefault="002D56FC" w:rsidP="002D56FC">
      <w:pPr>
        <w:pStyle w:val="ListParagraph"/>
        <w:numPr>
          <w:ilvl w:val="0"/>
          <w:numId w:val="1"/>
        </w:numPr>
        <w:spacing w:after="0"/>
      </w:pPr>
      <w:r>
        <w:t>Indirect measures of learning provide proxy information about student learning. Examples include students’ self-reported attainment of PLOs, student surveys about achievements, exit interviews, alumni surveys, and employer surveys.</w:t>
      </w:r>
    </w:p>
    <w:p w14:paraId="12501C56" w14:textId="77777777" w:rsidR="002D56FC" w:rsidRDefault="002D56FC" w:rsidP="00167ED6">
      <w:pPr>
        <w:spacing w:after="0"/>
        <w:rPr>
          <w:b/>
          <w:bCs/>
        </w:rPr>
      </w:pPr>
    </w:p>
    <w:p w14:paraId="5491BA09" w14:textId="588C1D62" w:rsidR="00E11A8C" w:rsidRPr="007479DB" w:rsidRDefault="00E11A8C" w:rsidP="00167ED6">
      <w:pPr>
        <w:spacing w:after="0"/>
        <w:rPr>
          <w:b/>
          <w:bCs/>
        </w:rPr>
      </w:pPr>
      <w:r w:rsidRPr="007479DB">
        <w:rPr>
          <w:b/>
          <w:bCs/>
        </w:rPr>
        <w:t>Who can I contact if I need help or have more que</w:t>
      </w:r>
      <w:r w:rsidR="007479DB">
        <w:rPr>
          <w:b/>
          <w:bCs/>
        </w:rPr>
        <w:t>stions</w:t>
      </w:r>
      <w:r w:rsidRPr="007479DB">
        <w:rPr>
          <w:b/>
          <w:bCs/>
        </w:rPr>
        <w:t xml:space="preserve">? </w:t>
      </w:r>
    </w:p>
    <w:p w14:paraId="6F2B29E0" w14:textId="5E685FC6" w:rsidR="00E11A8C" w:rsidRDefault="00E11A8C" w:rsidP="00167ED6">
      <w:pPr>
        <w:spacing w:after="0"/>
      </w:pPr>
      <w:r>
        <w:t xml:space="preserve">Contact </w:t>
      </w:r>
      <w:hyperlink r:id="rId11" w:history="1">
        <w:r>
          <w:rPr>
            <w:rStyle w:val="Hyperlink"/>
          </w:rPr>
          <w:t>Carole Kacius</w:t>
        </w:r>
      </w:hyperlink>
      <w:r>
        <w:t xml:space="preserve">, Director of Assessment </w:t>
      </w:r>
      <w:r w:rsidR="0091737D">
        <w:t xml:space="preserve">&amp; </w:t>
      </w:r>
      <w:r>
        <w:t>Accreditation, to schedule a consultation if you would like assistance articulating measurable</w:t>
      </w:r>
      <w:r w:rsidR="0091737D">
        <w:t xml:space="preserve"> PLOs</w:t>
      </w:r>
      <w:r>
        <w:t>, constructing or reconstructing your curriculum map</w:t>
      </w:r>
      <w:r w:rsidR="0091737D">
        <w:t>s</w:t>
      </w:r>
      <w:r>
        <w:t xml:space="preserve">, or writing your assessment report. This informal consultation will enable you to ask questions, review your </w:t>
      </w:r>
      <w:r w:rsidR="0091737D">
        <w:t>PLOs</w:t>
      </w:r>
      <w:r>
        <w:t>, work on your curriculum map</w:t>
      </w:r>
      <w:r w:rsidR="0091737D">
        <w:t>s</w:t>
      </w:r>
      <w:r>
        <w:t>, draft the 2-pg. report together, and explore opportunities to make the assessment process as meaningful and manageable as possible.</w:t>
      </w:r>
    </w:p>
    <w:sectPr w:rsidR="00E11A8C" w:rsidSect="00167ED6">
      <w:pgSz w:w="15840" w:h="24480" w:code="3"/>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488F"/>
    <w:multiLevelType w:val="hybridMultilevel"/>
    <w:tmpl w:val="A79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942A0"/>
    <w:multiLevelType w:val="hybridMultilevel"/>
    <w:tmpl w:val="7750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8C"/>
    <w:rsid w:val="00150B57"/>
    <w:rsid w:val="00167ED6"/>
    <w:rsid w:val="002D56FC"/>
    <w:rsid w:val="00357442"/>
    <w:rsid w:val="005F093E"/>
    <w:rsid w:val="005F3EB0"/>
    <w:rsid w:val="0067222E"/>
    <w:rsid w:val="007479DB"/>
    <w:rsid w:val="008D7965"/>
    <w:rsid w:val="0091737D"/>
    <w:rsid w:val="0093243B"/>
    <w:rsid w:val="00B80BD8"/>
    <w:rsid w:val="00C25D28"/>
    <w:rsid w:val="00CA70CF"/>
    <w:rsid w:val="00D31114"/>
    <w:rsid w:val="00D52DD0"/>
    <w:rsid w:val="00D92922"/>
    <w:rsid w:val="00E11A8C"/>
    <w:rsid w:val="00E3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BD62"/>
  <w15:chartTrackingRefBased/>
  <w15:docId w15:val="{F02DFE1A-CA0A-4312-8236-C1D5659F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A8C"/>
    <w:rPr>
      <w:rFonts w:eastAsiaTheme="majorEastAsia" w:cstheme="majorBidi"/>
      <w:color w:val="272727" w:themeColor="text1" w:themeTint="D8"/>
    </w:rPr>
  </w:style>
  <w:style w:type="paragraph" w:styleId="Title">
    <w:name w:val="Title"/>
    <w:basedOn w:val="Normal"/>
    <w:next w:val="Normal"/>
    <w:link w:val="TitleChar"/>
    <w:uiPriority w:val="10"/>
    <w:qFormat/>
    <w:rsid w:val="00E11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A8C"/>
    <w:pPr>
      <w:spacing w:before="160"/>
      <w:jc w:val="center"/>
    </w:pPr>
    <w:rPr>
      <w:i/>
      <w:iCs/>
      <w:color w:val="404040" w:themeColor="text1" w:themeTint="BF"/>
    </w:rPr>
  </w:style>
  <w:style w:type="character" w:customStyle="1" w:styleId="QuoteChar">
    <w:name w:val="Quote Char"/>
    <w:basedOn w:val="DefaultParagraphFont"/>
    <w:link w:val="Quote"/>
    <w:uiPriority w:val="29"/>
    <w:rsid w:val="00E11A8C"/>
    <w:rPr>
      <w:i/>
      <w:iCs/>
      <w:color w:val="404040" w:themeColor="text1" w:themeTint="BF"/>
    </w:rPr>
  </w:style>
  <w:style w:type="paragraph" w:styleId="ListParagraph">
    <w:name w:val="List Paragraph"/>
    <w:basedOn w:val="Normal"/>
    <w:uiPriority w:val="34"/>
    <w:qFormat/>
    <w:rsid w:val="00E11A8C"/>
    <w:pPr>
      <w:ind w:left="720"/>
      <w:contextualSpacing/>
    </w:pPr>
  </w:style>
  <w:style w:type="character" w:styleId="IntenseEmphasis">
    <w:name w:val="Intense Emphasis"/>
    <w:basedOn w:val="DefaultParagraphFont"/>
    <w:uiPriority w:val="21"/>
    <w:qFormat/>
    <w:rsid w:val="00E11A8C"/>
    <w:rPr>
      <w:i/>
      <w:iCs/>
      <w:color w:val="0F4761" w:themeColor="accent1" w:themeShade="BF"/>
    </w:rPr>
  </w:style>
  <w:style w:type="paragraph" w:styleId="IntenseQuote">
    <w:name w:val="Intense Quote"/>
    <w:basedOn w:val="Normal"/>
    <w:next w:val="Normal"/>
    <w:link w:val="IntenseQuoteChar"/>
    <w:uiPriority w:val="30"/>
    <w:qFormat/>
    <w:rsid w:val="00E11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A8C"/>
    <w:rPr>
      <w:i/>
      <w:iCs/>
      <w:color w:val="0F4761" w:themeColor="accent1" w:themeShade="BF"/>
    </w:rPr>
  </w:style>
  <w:style w:type="character" w:styleId="IntenseReference">
    <w:name w:val="Intense Reference"/>
    <w:basedOn w:val="DefaultParagraphFont"/>
    <w:uiPriority w:val="32"/>
    <w:qFormat/>
    <w:rsid w:val="00E11A8C"/>
    <w:rPr>
      <w:b/>
      <w:bCs/>
      <w:smallCaps/>
      <w:color w:val="0F4761" w:themeColor="accent1" w:themeShade="BF"/>
      <w:spacing w:val="5"/>
    </w:rPr>
  </w:style>
  <w:style w:type="character" w:styleId="Hyperlink">
    <w:name w:val="Hyperlink"/>
    <w:basedOn w:val="DefaultParagraphFont"/>
    <w:uiPriority w:val="99"/>
    <w:unhideWhenUsed/>
    <w:rsid w:val="00E11A8C"/>
    <w:rPr>
      <w:color w:val="467886" w:themeColor="hyperlink"/>
      <w:u w:val="single"/>
    </w:rPr>
  </w:style>
  <w:style w:type="character" w:styleId="UnresolvedMention">
    <w:name w:val="Unresolved Mention"/>
    <w:basedOn w:val="DefaultParagraphFont"/>
    <w:uiPriority w:val="99"/>
    <w:semiHidden/>
    <w:unhideWhenUsed/>
    <w:rsid w:val="00E11A8C"/>
    <w:rPr>
      <w:color w:val="605E5C"/>
      <w:shd w:val="clear" w:color="auto" w:fill="E1DFDD"/>
    </w:rPr>
  </w:style>
  <w:style w:type="character" w:styleId="FollowedHyperlink">
    <w:name w:val="FollowedHyperlink"/>
    <w:basedOn w:val="DefaultParagraphFont"/>
    <w:uiPriority w:val="99"/>
    <w:semiHidden/>
    <w:unhideWhenUsed/>
    <w:rsid w:val="002D56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u.qualtrics.com/jfe/form/SV_a61RBxLxLCJY6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su.edu/about/administrativeoffices/vice-provost/about-our-office/contact-us/directory/kaciuscaro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u.edu/about/administrativeoffices/vice-provost/administrative-services/program-assessments" TargetMode="External"/><Relationship Id="rId11" Type="http://schemas.openxmlformats.org/officeDocument/2006/relationships/hyperlink" Target="https://www.bsu.edu/about/administrativeoffices/vice-provost/about-our-office/contact-us/directory/kaciuscarole" TargetMode="External"/><Relationship Id="rId5" Type="http://schemas.openxmlformats.org/officeDocument/2006/relationships/hyperlink" Target="https://www.bsu.edu/about/administrativeoffices/vice-provost/administrative-services/student-learning-outcomes" TargetMode="External"/><Relationship Id="rId10" Type="http://schemas.openxmlformats.org/officeDocument/2006/relationships/hyperlink" Target="https://www.bsu.edu/about/administrativeoffices/vice-provost/administrative-services/unit-reviews" TargetMode="External"/><Relationship Id="rId4" Type="http://schemas.openxmlformats.org/officeDocument/2006/relationships/webSettings" Target="webSettings.xml"/><Relationship Id="rId9" Type="http://schemas.openxmlformats.org/officeDocument/2006/relationships/hyperlink" Target="https://bsu.qualtrics.com/jfe/form/SV_a61RBxLxLCJY6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Kacius, Carole</dc:creator>
  <cp:keywords/>
  <dc:description/>
  <cp:lastModifiedBy>Grinstead, Jennifer</cp:lastModifiedBy>
  <cp:revision>3</cp:revision>
  <dcterms:created xsi:type="dcterms:W3CDTF">2025-07-02T20:04:00Z</dcterms:created>
  <dcterms:modified xsi:type="dcterms:W3CDTF">2025-07-09T11:50:00Z</dcterms:modified>
</cp:coreProperties>
</file>